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2012/33 vom 24. Juli 2012</w:t>
      </w:r>
    </w:p>
    <w:p>
      <w:r>
        <w:t>Bundesverwaltungsgericht, 2012-07-24, DE</w:t>
      </w:r>
    </w:p>
    <w:p>
      <w:r>
        <w:rPr>
          <w:b/>
        </w:rPr>
        <w:t xml:space="preserve">Quelle: </w:t>
      </w:r>
      <w:r>
        <w:t>https://mcp.opencaselaw.ch/entscheid/bvger_BVGE 2012_33</w:t>
      </w:r>
    </w:p>
    <w:p>
      <w:r>
        <w:t>FR: TAF BVGE 2012/33 du 24 juillet 2012</w:t>
      </w:r>
    </w:p>
    <w:p>
      <w:r>
        <w:t>IT: TAF BVGE 2012/33 del 24 luglio 2012</w:t>
      </w:r>
    </w:p>
    <w:p>
      <w:pPr>
        <w:pStyle w:val="Heading2"/>
      </w:pPr>
      <w:r>
        <w:t>Regeste</w:t>
      </w:r>
    </w:p>
    <w:p>
      <w:r>
        <w:t>Finanzmarktaufsicht (Übriges)</w:t>
      </w:r>
    </w:p>
    <w:p>
      <w:pPr>
        <w:pStyle w:val="Heading2"/>
      </w:pPr>
      <w:r>
        <w:t>Erwägungen</w:t>
      </w:r>
    </w:p>
    <w:p>
      <w:r>
        <w:rPr>
          <w:b/>
        </w:rPr>
        <w:t>E. 9</w:t>
      </w:r>
    </w:p>
    <w:p>
      <w:r>
        <w:t>Gerichtliche Beurteilung hinsichtlich der streitigen, von den übrigen Kunden der Beschwerdeführerin durch Vermittlung Bank­mitarbeiter Y.s direkt gehaltenen SIAN-Bestände</w:t>
      </w:r>
    </w:p>
    <w:p>
      <w:r>
        <w:rPr>
          <w:b/>
        </w:rPr>
        <w:t>E. 9.1</w:t>
      </w:r>
    </w:p>
    <w:p>
      <w:r>
        <w:t>9.4 (...)</w:t>
      </w:r>
    </w:p>
    <w:p>
      <w:r>
        <w:rPr>
          <w:b/>
        </w:rPr>
        <w:t>E. 9.5</w:t>
      </w:r>
    </w:p>
    <w:p>
      <w:r>
        <w:t>Würdigung durch das Bundesverwaltungsgericht</w:t>
      </w:r>
    </w:p>
    <w:p>
      <w:r>
        <w:rPr>
          <w:b/>
        </w:rPr>
        <w:t>E. 9.5.1</w:t>
      </w:r>
    </w:p>
    <w:p>
      <w:r>
        <w:t>Wie in E. 8.1 und E. 8.2 dargelegt, überschritten Investor X. und Frau X. ab 19. Dezember 2007 und ab 28. Dezember 2007 mit einer Stimmrechtsbeteiligung von 3.53 % respektive 4.20 % an der sia Abrasives den Schwellenwert von 3 %, ohne dies offenzulegen. Ebenso kamen sie ihrer Meldepflicht nicht nach, als am 15. Januar 2008 die Beteiligung auf 2.99 % zurückging (E. 8.3). Nachfolgend geht es um die fraglichen Meldepflichtverletzungen unter Einschluss der Aktienanteile der übrigen Kunden von Bankmitarbeiter Y., die gemäss Darlegung der Vorinstanz durch indirekten Erwerb zustande kamen.</w:t>
      </w:r>
    </w:p>
    <w:p>
      <w:r>
        <w:rPr>
          <w:b/>
        </w:rPr>
        <w:t>E. 9.5.2</w:t>
      </w:r>
    </w:p>
    <w:p>
      <w:r>
        <w:t>Der Mailverkehr sowie die parallel dazu getätigten Investitionen und Deinvestitionen in die sia Abrasives sprechen überwiegend für einen beabsichtigten Positionsaufbau, über dessen Weiterführung oder Aufgabe je nach Ergebnis der übrigen Geschäfte von Investor X. (z.B. R1) ent­schieden werden sollte. Anders ist ein Grossteil der E-Mails von Bank­mitarbeiter Y. nicht erklärbar. So sandte Bankmitarbeiter Y. Investor X. bereits am 15. November 2007 einen Bloomberg-Auszug der grössten Publikumsaktionäre der sia Abrasives und schrieb von einem « Projekt », « dass zum richtigen Zeitpunkt zugeschlagen werde », « dass potentielle Finanzierungspartner erst kontaktiert würden, wenn das Projekt in der ersten Phase sei » und « dass er bis dann mit niemandem sprechen werde » (...). Auch die beiden E-Mails vom 15. Januar 2008 von Bankmitarbeiter Y. an B2 und B9 sprechen dafür, dass Investor X. Bank­mitarbeiter Y. beauftragt hat, eine Beteiligung an der sia Abrasives auf­zubauen (...). In die gleiche Richtung sind die Aussagen « (...)-Projekte-strictly conf. » und dass Investor X. ihn, Bankmitarbeiter Y., mit einem mehrstufigen Projekt beauftragt habe, in welches drei kotierte Firmen involviert seien beziehungsweise dass er ihm untersagt habe, die bank­interne Corporate Finance-Abteilung zu involvieren, zu deuten (...). Auch die E-Mail vom 15. Januar 2008, mit welcher Bankmitarbeiter Y. Investor X. erneut einen aktuellen Auszug der grössten Publikums­aktionäre zukommen liess und ihn über seine Beteiligung sowie die Beteiligung seiner anderen Kunden orientierte, kann nur mit einem beabsichtigten Beteiligungsaufbau an der sia Abrasives in Zusammen­hang gebracht werden (...). Mit einer weiteren E-Mail vom 24. Januar 2008 « 3*3 % Tierschützer done - still more @ 350 available - call (...) » hielt Bankmitarbeiter Y. Investor X. über die Beteiligung seiner Kunden auf dem Laufenden (...). Alle diese E-Mails fallen in einen früheren Zeitraum zu Beginn des Jahres 2008, als Investor X. nach seinen eigenen Angaben voll mit anderen Projekten beschäftigt war. Das mag zutreffen, vermag indessen das Argument, er habe nicht namhafte Anteile auch an der sia Abrasives erwerben wollen, nicht zu entkräften. Dafür, dass eine Beteiligung oder allenfalls gar eine Stimmenmehrheit von über 20 % angestrebt wurde, spricht auch die von Bankmitarbeiter Y. veranlasste Besprechung zwischen A2 und A1 (...). Die von Bank­mitarbeiter Y. getätigten Transaktionen sowie der Mailverkehr zwischen Bankmitarbeiter Y. und Investor X. beziehungsweise weiteren Personen sind ein weiteres starkes Indiz dafür, dass Bankmitarbeiter Y. Investor X. behilflich war, verdeckt eine Beteiligung an der sia Abrasives aufzu­bauen, indem er auf Rechnung seiner bankinternen Kunden und über Brokerage-Beziehungen unter anderem mit der D3 und der D1 SIAN-Titel erwarb und platzierte. Bankmitarbeiter Y. orientierte Investor X. regelmässig mit E-Mails über diesen Beteiligungsaufbau. Seitens Inves­tor X. war die sia Abrasives demnach aus objektiver Sicht Teil einer Ak­quisitionsstrategie über die X. AG Group. Dies zeigt insbesondere auch die E-Mail von Investor X. vom 19. Februar 2008, in welcher Kom­mentare hinsichtlich der sia Abrasives aufgeführt waren (...).</w:t>
      </w:r>
    </w:p>
    <w:p>
      <w:r>
        <w:rPr>
          <w:b/>
        </w:rPr>
        <w:t>E. 9.5.3</w:t>
      </w:r>
    </w:p>
    <w:p>
      <w:r>
        <w:t>Die Befragungen ergeben kein anderes Bild, da sich insbe­sondere Bankmitarbeiter Y. in Bezug auf wesentliche Punkte wider­sprochen hat oder sehr ausweichend antwortete: So gab er anlässlich der Befragung vor der Untersuchungsbeauftragten vom 10. Juni 2009 an, Investor X. habe im Februar/März 2008 mit dem Kauf von SIAN-Titeln begonnen (...), widerrief diese Aussage jedoch auf Vorhalt der Transak­tionsliste durch die Untersuchungsbeauftragte insofern, als er angab, die X.'s hätten ab November/Dezember 2007 mit dem Erwerb von SIAN-Aktien begonnen (...). Ferner gab er an, per 31. Dezember 2007 hätten Investor X. und Frau X. zusammen keine Beteiligung über 4 % gehabt. Auch diese Aussage korrigierte er in einer späteren Einvernahme und räumte ein, dass die X.'s per 31. Dezember 2007 die Schwelle von 3 % überschritten hätten. Dabei berichtigte er auch seine Aussage, jeweils alles fein säuberlich überprüft zu haben. Zu zahlreichen weiteren Trans­aktionen befragt, blieb Bankmitarbeiter Y. ausweichend und gab an, um eine genaue Antwort geben zu können, müsse er zuerst seine Unterlagen anschauen oder er möge sich nicht mehr erinnern, was bei dieser Transaktion abgelaufen sei. Damit vermag er die durch den Mailverkehr entstandene, doch sehr belastende Indizienlage selbstredend nicht zu entkräften. Dies betrifft folgende Transaktionen: Erwerb von 709 SIAN-Titeln der D13 AG am 25. März 2008 und Verkauf von 5'479 SIAN-Titeln am 26. März 2008 an die X.-Gruppe (...); Erwerb von SIAN-Titeln für Rechnung von C10 und C17 am 12. Juni 2008 trotz gemischter Konklusion des Research-Besuchs (...); Erwerb von SIAN-Titeln für Rechnung von C1, C2, C5, C10 und C3 im August 2008 trotz gemischter Konklusion des Research-Besuchs (...); Transaktion C18: Kauf von 2'000 SIAN am 20. Dezember 2007 zum Preis von je rund CHF 396. für Rechnung der C18 und Verkauf der 2'000 SIAN-Aktien am 20. Februar 2008 zum Preis von je CHF 384. an die D5 AG (...); Transaktion D7-Stiftung: Kauf von 1'500 SIAN-Aktien am 14. Januar 2008 zum Preis von je zwischen CHF 383. und 386. und Verkauf von 1'500 SIAN-Aktien am 27. März 2008 zum Preis von je CHF 376. an die X.-Gruppe (...). Bei der Befragung vor der Vorinstanz gab Bankmitarbeiter Y. zu Protokoll, er könne sich nicht an den Tag erinnern, an welchem ihm Investor X. den Auftrag erteilt habe, die Meldeschwelle von 3 % zu überschreiten, ebenso wenig an die Art des Auftrags. Weiter gab er an, sich nicht mehr erinnern zu können, was er mit Investor X. vor dem 15. November 2007 besprochen habe. Auch nach dem Inhalt seiner E Mail vom 15. November 2007 befragt, führte Bankmitarbeiter Y. aus, sich nicht mehr erinnern zu können, was er damit gemeint habe. Eklatant sind auch die Widersprüche zwischen den Aussagen von Bankmitarbeiter Y. und Investor X. bezüglich der zwei E-Mails vom 25. März 2008 von Bankmitarbeiter Y. (...). Während Bankmitarbeiter Y. hierzu durchaus plausible Angaben machte, indem er ausführte, Investor X. habe ihn am Vormittag des 25. März 2008 beauftragt, die Positionen aufzulisten, von welchen er glaube, Zugang zu haben (...), konnte sich Investor X. an nichts mehr erinnern und stellte in Abrede, diese E-Mails angefordert oder darauf reagiert zu haben (...). Mit Bezug auf die E-Mail vom 24. Januar 2008, 17:02 Uhr, « C. on board - but not public yet », gab Bankmitarbeiter Y. an, mit C. sei C8 (D12 AG; [...]) gemeint gewesen. Später korrigierte er seine Aussage wieder, indem er angab, mit C. sei B16 (...) gemeint gewesen. In diesem Sinne äusserte sich auch Investor X. Die Umstände legen indessen nahe, dass es sich dabei um C8 ge­handelt hat, da sich alle anderen E-Mails auch auf den Beteiligungs­aufbau beziehen. Weitere Widersprüche ergeben sich sodann im Hinblick auf den Research-Besuch vom 20. März 2008 bei der sia Abrasives: Während B18 erklärte, er habe diesen organisiert und Bankmitarbeiter Y. mitgenommen, da C14 keine Zeit gehabt habe, gab Bankmitarbeiter Y. an, diesen Besuch organisiert und B18 mitgenommen zu haben, da niemand von der Abteilung Research Zeit gehabt habe. Aufgrund all dieser Widersprüche und Unstimmigkeiten gelangt das Bundesver­waltungsgericht zum Schluss, dass aus den Befragungen keine Beweiser­gebnisse resultieren, die die Indizienlage, welche sich aus dem Mailver­kehr und den Transaktionen ergibt, umzustossen vermöchten.</w:t>
      </w:r>
    </w:p>
    <w:p>
      <w:r>
        <w:rPr>
          <w:b/>
        </w:rPr>
        <w:t>E. 9.5.4</w:t>
      </w:r>
    </w:p>
    <w:p>
      <w:r>
        <w:t>Einwand der Beschwerdeführerin, Bankmitarbeiter Y. habe Blockhandel betrieben</w:t>
      </w:r>
    </w:p>
    <w:p>
      <w:r>
        <w:rPr>
          <w:b/>
        </w:rPr>
        <w:t>E. 9.5.4.1</w:t>
      </w:r>
    </w:p>
    <w:p>
      <w:r>
        <w:t>Einwand der Beschwerdeführerin Die Beschwerdeführerin brachte vor, Bankmitarbeiter Y. habe Block­handel betrieben. Beim Blockhandel werde ausserbörslich ein grösseres Aktienpaket « en bloc » gekauft oder verkauft. Aufgabe des Brokers sei es, Parteien ausfindig zu machen, welche als Käufer und Verkäufer eines Aktienblocks zusammengeführt werden könnten. Es gehe um das Orten potenzieller Parteien und Blöcke. Da es kaum möglich sei, sich bei sämt­lichen börsenkotierten Unternehmen an die jeweiligen Aktionäre zu erinnern, erstellten die Broker oftmals Übersichten der bedeutenden Aktionäre einer Gesellschaft. In diesem Sinne seien auch die tabella­rischen Auflistungen von SIAN-Aktionären zu verstehen, welche Bank­mitarbeiter Y. in einigen E-Mails Investor X. zugestellt habe. Der Block­handel setze in keiner Weise ein Bookbuilding-Verfahren voraus und ein Blockauftrag werde oft über mehrere Tage aufgeteilt. Auch vermögende Privatkunden bildeten regelmässig Parteien beim Blockhandel. Bei der Stimmrechtsbeteiligung von 10 15 % handle es sich um die Obergrenze; der Blockhandel könne auch kleinere und mittlere Beteiligungen zwi­schen 2 % und 10 % betreffen.</w:t>
      </w:r>
    </w:p>
    <w:p>
      <w:r>
        <w:rPr>
          <w:b/>
        </w:rPr>
        <w:t>E. 9.5.4.2</w:t>
      </w:r>
    </w:p>
    <w:p>
      <w:r>
        <w:t>Gegenargument der Vorinstanz Die Vorinstanz wendet dagegen ein, im vorliegenden Fall habe kein Blockhandel stattgefunden. Blockhandel sei der Verkauf eines Aktien­pakets einer börsenkotierten Gesellschaft durch eine private Platzierung an institutionelle Anleger, die durch eine Bank oder ein Bankkonsortium getätigt werde. Institutionelle Anleger seien juristische oder natürliche Personen oder Rechtsgemeinschaften, die aufgrund ihrer Zielsetzung als Kapitalsammelstelle einen gesteigerten Anlagebedarf hätten und ver­pflichtet seien, über eine professionelle interne oder externe Vermögens­verwaltung beziehungsweise Tresorerie zu verfügen. Blocktransaktionen beträfen im Regelfall eine Beteiligung von 10 15 % des Aktienkapitals der Gesellschaft. Die Aktien würden typischerweise den Anlegern durch einen sogenannten Bookbuilding-Prozess angeboten, so dass die Aus­führung der Transaktion innerhalb von ein paar Stunden erfolgen könne. Die Transaktion werde in zwei Phasen durchgeführt: Einerseits werde zwischen dem Verkäufer (Aktionär) und der Bank ein Anlagevertrag (sog. underwriting agreement) abgeschlossen, andererseits unterzeichne die Bank ein sogenanntes Term sheet mit jedem Käufer, welches die wesentlichen Elemente der Transaktion fixiere. Vorliegend hätten Bank­mitarbeiter Y. und die Beschwerdeführerin keinen Blockhandel betrieben, weil offensichtlich kein Bookbuilding-Prozess stattgefunden habe, da sämtliche involvierten Kunden - ausser der D3 und der D1 - keine institu­tionellen Anleger, sondern Privatanleger gewesen seien, und weil die ein­zelnen SIAN-Pakete, welche die Beschwerdeführerin vom 22. November 2007 bis zum 20. März 2008 für ihre Kunden gekauft beziehungsweise wieder verkauft habe, von geringerer Bedeutung gewesen seien. Das grösste SIAN-Paket habe sich auf 13'495 SIAN-Aktien belaufen, ent­sprechend 1.79 % der Stimmrechte.</w:t>
      </w:r>
    </w:p>
    <w:p>
      <w:r>
        <w:rPr>
          <w:b/>
        </w:rPr>
        <w:t>E. 9.5.4.3</w:t>
      </w:r>
    </w:p>
    <w:p>
      <w:r>
        <w:t>Allgemeines zum Blockhandel und typische Fallkonstella­tionen Als Blockhandel wird im Schrifttum eine Veräusserung eines Paketes von Aktien einer börsenkotierten Gesellschaft im Rahmen einer Privat­platzierung an Investoren unter Einschaltung einer oder mehrerer Invest­mentbanken bezeichnet (vgl. Frank Gerhard, Le block-trade comme moyen de placement de titres de participation cotés en bourse, SZW 2006, S. 258; Jan Liersch, Regulierung des Blockhandels an den organisierten Aktienmärkten der Vereinigten Staaten, Grossbritanniens und Deutschlands, Frankfurter wirtschaftsrechtliche Studien Bd. 46, Diss. Frankfurt am Main 2002; Michael Schlitt/Susanne Schäfer, Quick to market - Aktuelle Rechtsfragen im Zusammenhang mit Block-Trade-Transaktionen, in: Die Aktiengesellschaft 2004, Heft 7, S. 346 ff.). Aus Sicht des verkaufenden Aktionärs, von dem in der Regel die Initiative zur Transaktion ausgeht, handelt es sich also um den (ganzen oder teilweisen) Ausstieg aus seiner Investition. Die Konstellationen, aus welchen sich der Anlass für einen Blockhandel ergibt, sind vielfältig. Es geht zum Beispiel um Verkäufe im Anschluss an einen Börsengang, bei welchen die ursprüngliche Aktionärsgruppe, wie es die Regel ist, beim IPO (Initial Public Offering, Börsengang) nur einen teilweisen Ausstieg realisiert, den Abbau einer nicht mehr als strategisch betrachteten Betei­ligung, eine Ablösung einer Familienbeherrschung als Nachfolgelösung oder um den Rückzug aus einem gescheiterten Übernahmeversuch. Die Platzierung am Kapitalmarkt und damit die Bedeutung der Frage des Platzierungsrisikos machen den Blockhandel zu einer Kapitalmarkt­transaktion und damit zu einem typischen Geschäft der Investment­banken, deren Platzierungskraft einen wesentlichen Erfolgsfaktor dar­stellt. Typisch für Blocktrades sind Aktienpakete bis zu ca. 10-15 %. Veräusserungen von Aktienpaketen solcher Volumen resultieren in einem kurzfristigen, unter Umständen sehr erheblichen Angebotsüberhang und belasten daher den Kurs. Bei den Anlegern handelt es sich praktisch ausschliesslich um institutionelle Investoren. Die Platzierung wird in der Regel auf dem Wege eines beschleunigten Bookbuilding (sog. Accele­rated Bookbuilding) durchgeführt. Anleger werden telefonisch innerhalb eines Zeitraumes von mehreren Stunden bis maximal wenigen Tagen angesprochen.</w:t>
      </w:r>
    </w:p>
    <w:p>
      <w:r>
        <w:rPr>
          <w:b/>
        </w:rPr>
        <w:t>E. 9.5.4.4</w:t>
      </w:r>
    </w:p>
    <w:p>
      <w:r>
        <w:t>Idealtypischer oder atypischer Blockhandel? Im vorliegenden Fall gibt es keine Anzeichen dafür, dass die Be­schwerdeführerin einen idealtypischen Blockhandel betrieben hätte. Es fand - wie die Vorinstanz zu Recht festhält - kein Bookbuilding-Prozess statt und die zahlreichen Transaktionen betrafen Aktienpakete von höchstens 1.79 % der Stimmrechte. Schliesslich wurden die zahlreichen Pakete innerhalb von vier Börsentagen, also nicht innerhalb von ein paar Stunden, an Investor X. verkauft, und auch hierbei handelte es sich um mehrere kleinere Pakete, die Investor X. verkauft wurden, und nicht um eine « en bloc »-Transaktion. Schliesslich gingen die Transaktionen auch nicht von den verkaufenden Aktionären aus, sondern von der Beschwer­deführerin. Ferner ist darauf hinzuweisen, dass Investor X. in den Befra­gungen nicht aussagte, dass es sich bei den E-Mails von Bankmitarbeiter Y. um für den Blockhandel typische E-Mails handelte, sondern um unbedeutenden Spam. Auch dies lässt erhebliche Zweifel daran auf­kommen, dass die E-Mails für den Blockhandel typisch waren. Soweit die Beschwerdeführerin mit dem Argument des Blockhandels den ver­schiedenen Attachments, welche Bankmitarbeiter Y. seinen E-Mails an Investor X. beifügte, eine andere Bedeutung beimessen will, als dies Vorinstanz und Gericht nach dem in E. 9.5.2 Gesagten tun, vermag sie daher nicht durchzudringen. Soweit die Beschwerdeführerin mit dem Argument des Blockhandels die zahlreichen Überschreitungen von Schwellenwerten ohne Erstattung der gesetzlichen Meldung rechtfertigen will, greifen ihre Argumente ebenso wenig. Denn einerseits ist Blockhan­del vorliegend nach dem Gesagten zu verneinen, und anderseits entbindet Blockhandel auch nicht von der Einhaltung zwingender gesetzlicher Vorschriften. Diesem Umstand hat die Beschwerdeführerin nun insofern Rechnung getragen, als sie - wie noch zu zeigen sein wird - zwischenzeitlich organisatorische Massnahmen einführte, die auch bei diesen Formen des Aktienhandels ein effizientes Monitoring und eine entsprechende Verwaltung solcher Aktienbestände gewährleisten (vgl. E. 10.2). Mit anderen Worten: Selbst wenn beim Erwerb der SIAN-Titel Ende März/Anfang April 2008 durch Investor X. eine atypische Form des Blockhandels vorgelegen haben sollte, sind die Meldepflichten einzu­halten, was vorliegend nicht der Fall war, da die Meldepflicht zuvor über mehrere Monate hinweg verletzt wurde. Das Argument der Beschwerde­führerin trägt daher nicht.</w:t>
      </w:r>
    </w:p>
    <w:p>
      <w:r>
        <w:rPr>
          <w:b/>
        </w:rPr>
        <w:t>E. 9.5.5</w:t>
      </w:r>
    </w:p>
    <w:p>
      <w:r>
        <w:t>Argument der Finanzkrise</w:t>
      </w:r>
    </w:p>
    <w:p>
      <w:r>
        <w:rPr>
          <w:b/>
        </w:rPr>
        <w:t>E. 9.5.5.1</w:t>
      </w:r>
    </w:p>
    <w:p>
      <w:r>
        <w:t>Die Beschwerdeführerin macht sodann geltend, durch das Zusammentreffen der Finanzkrise, des panikartigen Ausstiegs der Ver­käufer aus illiquiden Titeln, der schlechten Jahreszahlen der sia Abra­sives im Jahr 2007, der sich daraus ergebenden Rückstufungen durch Analysten und der tiefen Börsenkurse habe sich für Investor X. eine Kaufgelegenheit eröffnet, die er mutig ergriffen habe.</w:t>
      </w:r>
    </w:p>
    <w:p>
      <w:r>
        <w:rPr>
          <w:b/>
        </w:rPr>
        <w:t>E. 9.5.5.2</w:t>
      </w:r>
    </w:p>
    <w:p>
      <w:r>
        <w:t>Die Finanzkrise war an sich nicht ungeeignet, Transaktionen bezüglich unterbewerteter Aktien auszulösen, wie es die Beschwerde­führerin und einige der Befragten zu erklären versuchten. Indessen wer­den diese Erklärungen von Umständen überlagert, die eine andere Würdi­gung nahelegen. So wurde, wie erwähnt, bereits früh von einem Projekt gesprochen (...) und es wurden Informationen über wichtige Aktionäre ausgetauscht (...). Sodann wurden zunächst kleinere Pakete bei Friends &amp; Family-Kunden platziert, die dann zu institutionellen Anlegern ver­schoben wurden und für die eine kürzere Aufbewahrungszeit verabredet wurde. Auch dies deutet auf ein zielgerichtetes Vorgehen hin, dessen Logik nicht in der Finanzkrise liegt. Auch insofern vermag die Be­schwerdeführerin mit ihren Argumenten daher nicht durchzudringen.</w:t>
      </w:r>
    </w:p>
    <w:p>
      <w:r>
        <w:rPr>
          <w:b/>
        </w:rPr>
        <w:t>E. 9.5.6</w:t>
      </w:r>
    </w:p>
    <w:p>
      <w:r>
        <w:t>Argument der Involvierung Investor X.s in andere Aktivi­täten</w:t>
      </w:r>
    </w:p>
    <w:p>
      <w:r>
        <w:rPr>
          <w:b/>
        </w:rPr>
        <w:t>E. 9.5.6.1</w:t>
      </w:r>
    </w:p>
    <w:p>
      <w:r>
        <w:t>Die Beschwerdeführerin bringt vor, von November 2007 bis März 2008 hätten eine ganze Reihe von Projekten erster Priorität - R2, R1, R3, R4 sowie R5 - die volle Aufmerksamkeit von Investor X. in Anspruch genommen. Die Verhandlungen von Investor X. mit R2 bezüg­lich der Veräusserung seiner R6-Beteiligung hätten von Herbst 2007 bis Januar 2008 gedauert. Die Vertragsunterzeichnung habe am 31. Januar 2008 stattgefunden, worauf R2 während 60 Tagen eine Due Diligence durchgeführt habe. Während dieses Zeitraums sei mit der R2 die Möglichkeit eines Ausstiegs vereinbart worden. Erst in der letzten März­woche habe sich ein positiver Ausgang abgezeichnet und am 31. März 2008 sei das Closing mit anschliessendem Mittelzufluss im Umfang von CHF 130 Mio. an Investor X. erfolgt. Investor X. habe im Januar/Februar 2008 geplant, die aus dem Verkauf der R6-Beteiligung möglicherweise frei werdenden Mittel in eine Beteiligung an R1 zu investieren. Ab Mitte März 2008 habe sich jedoch abgezeichnet, dass die Verkäuferin (die Bank Q4) ihre 25 %-Beteiligung zu einem viel zu hohen Preis verkaufen wolle, weshalb sich Investor X. in der zweiten Märzhälfte von den Ver­handlungen zurückgezogen habe. Im Januar/Februar 2008 habe Investor X. über einen Beteiligungserwerb an R3 verhandelt. Im selben Monat hätten Verhandlungen über einen Beteiligungserwerb an R7, R4 sowie R5 stattgefunden. Alle diese Verhandlungen hätten durch Investor X. im Februar 2008 erfolgreich abgeschlossen werden können.</w:t>
      </w:r>
    </w:p>
    <w:p>
      <w:r>
        <w:rPr>
          <w:b/>
        </w:rPr>
        <w:t>E. 9.5.6.2</w:t>
      </w:r>
    </w:p>
    <w:p>
      <w:r>
        <w:t>Es mag sein, dass Investor X. Ende 2007/Anfang 2008 andere Investitionen priorisiert hat, und es trifft zu, dass er selber erst ab Ende März 2008 namhaft in SIAN-Aktien investierte. Insofern ist nachvoll­ziehbar, dass er die Investition in SIAN-Aktien längere Zeit nicht als Priorität behandelte. Gleichwohl entwickelte er eine Aktivität, die ihm die Option einer späteren umfassenden Investition in diese Gesellschaft ermöglichte und die mithin klar auf den Ausbau von Stimmrechtsanteilen an der sia Abrasives gerichtet war. Dies geht auch deutlich aus den Aus­sagen von Bankmitarbeiter Y. hervor, wonach Ende 2007 das Ziel von Investor X. gewesen sei, « den Finger reinzuhalten » beziehungsweise eine Position von 10 % an der sia Abrasives aufzubauen und Verwal­tungsrat zu werden, und sich Investor X. dann im März 2008 entschieden habe, eine Position von 10-15 % an der sia Abrasives aufzubauen und das Verwaltungsratspräsidium anzustreben (...). Es wurden somit Um­stände geschaffen, aufgrund derer Investor X. die Übertragung der ent­sprechenden Stimmrechte jederzeit erwirken konnte, und es bestand mehr als die blosse Möglichkeit des Beteiligungsaufbaus (vgl. E. 7.5). Auch insofern vermag die Beschwerdeführerin nicht zu überzeugen.</w:t>
      </w:r>
    </w:p>
    <w:p>
      <w:r>
        <w:rPr>
          <w:b/>
        </w:rPr>
        <w:t>E. 9.5.7</w:t>
      </w:r>
    </w:p>
    <w:p>
      <w:r>
        <w:t>Fazit Zusammenfassend gelangt das Bundesverwaltungsgericht zu folgenden Schlüssen:</w:t>
      </w:r>
    </w:p>
    <w:p>
      <w:r>
        <w:rPr>
          <w:b/>
        </w:rPr>
        <w:t>E. 9.5.7.1</w:t>
      </w:r>
    </w:p>
    <w:p>
      <w:r>
        <w:t>Verletzung der Meldepflicht durch Investor X. und Frau X. bereits Ende Dezember 2007/Januar 2008 Wie in E. 8 dargelegt, vermittelte Bankmitarbeiter Y. Investor X. und Frau X. bis zum 28. November 2007 insgesamt 25'000 SIAN-Titel, welche einem Stimmrechtsanteil von 3.33 % entsprachen. Bis Ende November 2007 galt indessen als unterster Schwellenwert lediglich 5 %, so dass insofern keine Meldepflicht bestand (vgl. E. 7.1.3). Ab Dezember 2007 vermittelte Bankmitarbeiter Y. Investor X. und Frau X. indessen weitere SIAN-Bestände, und zwar am 19. Dezember 2007 1'495 SIAN-Titel, was zu einer Stimmrechtsbeteiligung von 3.53 % von Investor X. und Frau X. führte, und am 28. Dezember 2007 5'000 SIAN-Titel, was eine Erhöhung des Stimmrechtsanteils auf 4.20 % bewirkte. Hierfür bestand eine gesetzliche Meldepflicht, die indessen nicht wahrgenommen und mithin verletzt wurde.</w:t>
      </w:r>
    </w:p>
    <w:p>
      <w:r>
        <w:rPr>
          <w:b/>
        </w:rPr>
        <w:t>E. 9.5.7.2</w:t>
      </w:r>
    </w:p>
    <w:p>
      <w:r>
        <w:t>Heimlicher Positionsaufbau seit spätestens November 2007 Der Mailverkehr sowie die Befragungen deuten darauf hin, dass Investor X. zusammen mit Bankmitarbeiter Y. seit spätestens November 2007 aktiv geworden ist und dass über die Kunden von Bankmitarbeiter Y. be­ziehungsweise der Beschwerdeführerin heimlich eine Position aufgebaut wurde. Anfänglich wurde der Beteiligungsaufbau vorab über die Friends &amp; Family-Kunden und anschliessend über die institutionellen Kunden vollzogen. Diese Aktivitäten waren - gemäss Rechtsprechung des Bundesgerichts - klar auf einen Beteiligungsaufbau gerichtet und stellten mehr dar als die blosse Möglichkeit zu einem Aufbau (vgl. E. 7.5).</w:t>
      </w:r>
    </w:p>
    <w:p>
      <w:r>
        <w:rPr>
          <w:b/>
        </w:rPr>
        <w:t>E. 9.5.7.3</w:t>
      </w:r>
    </w:p>
    <w:p>
      <w:r>
        <w:t>Dagegen erhobene Einwände der Beschwerdeführerin Die dagegen erhobenen Einwände der Beschwerdeführerin überzeugen nicht. Die Priorisierung von Investor X. der Investition in andere Projekte schloss den vorsorglichen Beteiligungsaufbau an SIAN-Aktien durch Bankmitarbeiter Y. beziehungsweise die Beschwerdeführerin nicht aus. Ebenso wenig überzeugt das Argument der Finanzkrise, da sich mit dieser allein der nach dem Gesagten über längere Zeit erfolgte systema­tische Beteiligungsaufbau nicht rechtfertigen lässt. Auch das Argument des Blockhandels vermag insofern nicht zu überzeugen, als die Melde­pflicht bereits zuvor, das heisst, bevor Investor X. Ende März/Anfang April 2008 namhafte Stimmrechtsanteile an der sia Abrasives erwarb, über mehrere Monate hinweg verletzt wurde.</w:t>
      </w:r>
    </w:p>
    <w:p>
      <w:r>
        <w:rPr>
          <w:b/>
        </w:rPr>
        <w:t>E. 9.5.7.4</w:t>
      </w:r>
    </w:p>
    <w:p>
      <w:r>
        <w:t>Überschreitung der Schwellenwerte durch Investor X. und Verletzung der Meldepflicht Mit der Vorinstanz ist daher davon auszugehen, dass Investor X. die ge­setzlichen Schwellenwerte wie folgt überschritten hat: Am 18. Dezember 2007 wurde der aufgrund des indirekten Erwerbs beziehungsweise bei der gebotenen Hinzurechnung der übrigen Aktienbestände von Bankmit­arbeiter Y.s Kunden massgebende Stimmrechtsanteil von 3.73 % (Stand: 12. Dezember 2007) auf 3.89 % erhöht. Dies hätte eine Offenlegung der 3.89 % der Stimmrechte innert vier Börsentagen erfordert. Am 28. Dezember 2007 wurde der Schwellenwert von 5 % mit dem von In­vestor X. und Frau X. direkt gehaltenen Anteil von 4.20 % (...) und den hinzuzurechnenden übrigen Aktienbeständen der Kunden Bankmit­arbeiter Y.s überschritten. Auch dies hätte eine Offenlegung innert vier Börsentagen erforderlich gemacht. Am 25. Januar 2008 wurde der Schwellenwert von 10 % überschritten, was in gleicher Weise eine Offenlegung innert vier Börsentagen erforderlich gemacht hätte. Am 26. März 2008 und 1. April 2008 wurden die Schwellenwerte von 15 % und 20 % überschritten. Letztere beiden Überschreitungen legte Investor X. offen, nicht aber den indirekten Aktienerwerb, wozu er nach Art. 20 BEHG und auch gemäss Art. 9 Abs. 1 und 3 Bst. d und Art. 17 Abs. 1 Bst. abis BEHV-EBK verpflichtet gewesen wäre. Insoweit, als die Beschwerde andere Sichtweisen und Annahmen postu­liert, erweist sie sich daher als unbegründet und ist abzuweisen. Bei diesem Ergebnis erübrigt sich die Einvernahme weiterer Personen, wie es die Beschwerdeführerin betreffend A1 und D4 beantragt, so dass dieser Beweisantrag abzuweisen ist.</w:t>
      </w:r>
    </w:p>
    <w:p>
      <w:r>
        <w:rPr>
          <w:b/>
        </w:rPr>
        <w:t>E. 10</w:t>
      </w:r>
    </w:p>
    <w:p>
      <w:r>
        <w:t>Vorwurf der ungenügenden Organisation</w:t>
      </w:r>
    </w:p>
    <w:p>
      <w:r>
        <w:rPr>
          <w:b/>
        </w:rPr>
        <w:t>E. 10.1</w:t>
      </w:r>
    </w:p>
    <w:p>
      <w:r>
        <w:t>Die Vorinstanz führte in der angefochtenen Verfügung aus, Vor­aussetzung für die Ausübung einer Bankentätigkeit sei die dauernde Gewähr für eine einwandfreie Geschäftstätigkeit (Art. 3 Abs. 2 Bst. c des Bankengesetzes vom 8. November 1934 [BankG, SR 952.0]), was bedeute, dass die mit der Verwaltung und Geschäftstätigkeit der Bank betrauten Personen einen guten Ruf geniessen und Gewähr für eine ein­wandfreie Geschäftstätigkeit bieten müssten. Was für die einzelnen Ge­währsträger gelte, gelte auch für die Bank als Institut. Eine einwandfreie Geschäftstätigkeit gebiete, dass die Bank keine rechts- und sitten­widrigen Geschäfte tätige. Die Verwicklung in rechts- oder sittenwidrige Geschäfte könne das Vertrauen nicht nur in die betroffene Bank, sondern in die Schweizer Banken ganz allgemein beeinträchtigen. Die Banken hätten deshalb die wirtschaftlichen Gründe eines Geschäfts abzuklären, wenn Anzeichen bestünden, dass dieses Teil eines unsittlichen oder rechtswidrigen Sachverhalts bilden könnte, oder wenn es sich um ein kompliziertes, ungewöhnliches oder bedeutsames Geschäft handle. Die genannten Grundsätze seien analog anwendbar für eine Effekten­händlerin, ihre verantwortlichen Mitarbeiter sowie die massgebenden Aktionäre (Art. 10 Abs. 2 Bst. d BEHG). Die Bank beziehungsweise die Effektenhändlerin sorge gemäss Art. 9 der Bankenverordnung vom 17. Mai 1972 (BankV, SR 952.02) beziehungsweise Art. 19 Abs. 1 der Börsenverordnung vom 2. Dezember 1996 (BEHV, SR 954.11) für eine wirksame betriebsinterne Funktionentrennung zwischen Handel, Ver­mögensverwaltung und Abwicklung. Sie müsse die mit der Geschäfts­tätigkeit und die mit dem Vollzug von Effektengeschäften verbundenen Risiken erfassen, begrenzen und überwachen (Art. 19 Abs. 3 BEHV). Gemäss Art. 9 Abs. 2 BankV beziehungsweise Art. 19 Abs. 3 BEHV regle die Bank beziehungsweise die Effektenhändlerin die Grundzüge des Risikomanagements sowie die Zuständigkeit und das Verfahren für die Bewilligung von risikobehafteten Geschäften in einem Reglement oder in internen Richtlinien. Des Weiteren sorge die Bank für ein wirksames internes Kontrollsystem und bestelle eine von der Geschäfts­tätigkeit unabhängige interne Revision (Art. 9 Abs. 4 BankV bzw. Art. 20 Abs. 1 BEHV). Das EBK-Rundschreiben 06/6 « Überwachung und interne Kontrolle » (RS-EBK 06/6) präzisiere die genannten Organisa­tionsvorschriften. Die Verantwortung für die Erfassung, Begrenzung und Überwachung von Risiken trage teils der Verwaltungsrat und teils die Geschäftsleitung. Im Einzelnen warf die Vorinstanz der Beschwerdeführerin vor, auch wenn für verschiedene Kunden bestimmte SIAN-Transaktionen gewinn­bringend gewesen seien, habe die Beschwerdeführerin bezüglich der SIAN-Transaktionen zu keinem Zeitpunkt die Pflicht der best execution gemäss Art. 11 Abs. 1 Bst. b BEHG und Art. 5 der Verhaltensregeln der Schweizerischen Bankiervereinigung (SBVg) für Effektenhändler sowie die Treuepflicht gemäss Art. 11 Abs. 1 Bst. c BEHG und Art. 8 der Verhaltensregeln der SBVg für Effektenhändler erfüllt: Anstoss für die Anlageentscheide in SIAN sei nämlich in erster Linie das Projekt « Tierschützer » und nicht die « kundenbezogene » Erfüllung der best execution gegenüber jedem einzelnen Kunden gewesen, für welchen SIAN-Titel erworben worden beziehungsweise bei dem SIAN-Titel parkiert worden seien. Es sei zudem offensichtlich, dass die Anlageent­scheide in SIAN-Aktien einen Interessenkonflikt mit denjenigen Kunden, bei denen die SIAN-Titel parkiert worden seien, zur Folge gehabt habe. Die Kunden hätten der Beschwerdeführerin als Mittel zum Zweck für den Beteiligungsaufbau an der sia Abrasives gedient, ohne dass diese es gewusst hätten. Dies gelte insbesondere auch für diejenigen Kunden, für welche Bankmitarbeiter Y. SIAN-Aktien mit Verlust verkauft habe. Um den Beteiligungsaufbau an der sia Abrasives durch das Parkieren von Aktien ausführen zu können, seien die Verluste anderer Kunden von der Beschwerdeführerin in Kauf genommen worden. Die Beschwerde­führerin habe zwischen November 2007 und April 2008 durch das Par­kieren von SIAN-Titeln bei Kunden die Treue- und Sorgfaltspflicht gemäss Art. 11 Abs. 1 Bst. b und c BEHG und somit das Erfordernis der Gewähr für eine einwandfreie Geschäftstätigkeit gemäss Art. 10 Abs. 2 Bst. d BEHG schwer verletzt. Aus der E-Mail von Bankmitarbeiter Y. an B9 vom 15. Januar 2008 gehe hervor, dass die Beschwerdeführerin ihr eigenes Organigramm beziehungsweise ihre Funktionentrennung zwi­schen Mitarbeiter und Linienvorgesetzten sowie ihre Funktionentrennung zwischen Geschäftsleitung und Verwaltungsrat in keiner Weise respek­tiert habe. Bankmitarbeiter Y. habe als Mitarbeiter der Sales-Abteilung nicht nur den Vorsteher der Geschäftsleitung als direkten Vorgesetzten gehabt, sondern sei von diesem sogar noch angewiesen worden, sich bezüglich des Projekts mit Investor X. direkt an das Verwaltungsrats­mitglied B2 zu wenden. Die Beschwerdeführerin habe es mehrfach unterlassen, bezüglich der Geschäfte, die Bankmitarbeiter Y. mit Investor X. abgewickelt habe, Abklärungen vorzunehmen. Dies, obwohl es Anzeichen gegeben habe, dass solche Abklärungen im Interesse der Bank und ihrer Kunden notwendig gewesen wären. B9 und B2 hätten bereits seit den E-Mails von Bankmitarbeiter Y. am 15. Januar 2008 gewusst, dass Investor X. Bankmitarbeiter Y. mit der Ausführung von einem oder mehreren Projekten beauftragt habe, die vertraulich gewesen seien. Eine solche E-Mail hätte die Beschwerdeführerin veranlassen müssen, bezüg­lich Investor X., Bankmitarbeiter Y. und des SIAN-Bestandes der Be­schwerdeführerin Abklärungen vorzunehmen. Die Beschwerdeführerin hätte Schritte unternehmen müssen, um das Risiko der Bank bezüglich der Projekte von Investor X. zu evaluieren und zu dokumentieren. Sie hätte sicherstellen müssen, dass sie ihren Kunden nicht Hand für all­fällige rechtswidrige Geschäfte biete. Die Beschwerdeführerin habe mit den meisten Friends &amp; Family-Kunden mündliche Verträge abge­schlossen. Die Mündlichkeit der Verträge habe die Gewährleistung eines wirksamen Risikomanagements gemäss Art. 9 Abs. 2 BankV beziehungs­weise Art. 19 Abs. 3 BEHV verhindert. Es sei offensichtlich, dass münd­lich abgeschlossene Verträge die Erfassung und Steuerung der Risiken im Rahmen der internen Kontrolle wie auch für die externe Prüfgesellschaft verunmöglichten. Ausserdem stellten sie die Seriosität der Geschäfts­tätigkeit, welche für die Ausübung der Bankentätigkeit dauernd zu gewährleisten sei, in Frage. Die Beschwerdeführerin habe Bankmit­arbeiter Y. eine faktische Machtstellung gewährt, die es dem Ver­waltungsrat und der Geschäftsleitung der Beschwerdeführerin erschwert hätte, in Bezug auf die von Bankmitarbeiter Y. betreuten Geschäfte und Kunden ihrer Verantwortung im Bereich des Risikomanagements gerecht zu werden und die diesbezüglichen Risiken einzuschätzen. Die Be­schwerdeführerin habe für die von Bankmitarbeiter Y. betreuten Ge­schäfte weder ein angemessenes Risikomanagement noch eine wirksame betriebsinterne Funktionentrennung noch ein wirksames internes Kon­trollsystem gehabt. Die Beschwerdeführerin habe vielmehr gegen die gesetzlichen und regulatorischen Bestimmungen bezüglich der Organi­sation (betriebsinterne Funktionentrennung, Risikomanagement, ange­messenes internes Kontrollsystem, Compliance) und der Pflicht zur Ab­klärung der wirtschaftlichen Hintergründe eines Geschäfts gemäss Art. 3 Abs. 2 Bst. a BankG, Art. 10 Abs. 2 Bst. a BEHG, Art. 9 Abs. 2, 3 und 4 BankV, Art. 19 Abs. 1 und 3, Art. 20 Abs. 1 BEHV sowie gegen die diesbezüglichen Ausführungsbestimmungen des RS-EBK 06/6 ver­stossen. Die Treue- und Sorgfaltspflicht gemäss Art. 11 Abs. 1 Bst. b und c BEHG sei nicht nur Teil der Anforderungen an eine einwandfreie Geschäftstätigkeit gemäss Art. 10 Abs. 2 Bst. d BEHG, sondern auch Teil der Organisationsvorschriften gemäss Art. 10 Abs. 2 Bst. a BEHG. Dem­zufolge habe die Beschwerdeführerin durch die Verletzung der Sorgfalts­pflicht gemäss Art. 11 Abs. 1 Bst. b und c BEHG gegen die Organisa­tionsvorschriften gemäss Art. 10 Abs. 2 Bst. a BEHG verstossen. Dagegen wandte die Beschwerdeführerin im Wesentlichen ein, Bankmit­arbeiter Y. sei beim Erwerb von SIAN-Aktien weder als « langer Arm » noch als « alter ego » von Investor X. tätig gewesen. Es habe keinerlei Auftrags- beziehungsweise Treuhandverhältnis vorgelegen und ent­sprechend hätten weder ein Instruktionsrecht von Investor X. noch eine Weisungsgebundenheit von Bankmitarbeiter Y. bestanden. Vielmehr habe Bankmitarbeiter Y. beim Erwerb der SIAN-Titel für seine Kunden im Interesse dieser Kunden gehandelt. Da das Verhalten von Bankmit­arbeiter Y. Investor X. nicht angerechnet werden könne, könne Bankmit­arbeiter Y. kein entsprechender Unterstützungsvorwurf gemacht werden. Da Bankmitarbeiter Y. kein Vorwurf gemacht werden könne, sei auch der Beschwerdeführerin nichts vorzuhalten.</w:t>
      </w:r>
    </w:p>
    <w:p>
      <w:r>
        <w:rPr>
          <w:b/>
        </w:rPr>
        <w:t>E. 10.2</w:t>
      </w:r>
    </w:p>
    <w:p>
      <w:r>
        <w:t>Mit Eingabe vom 22. November 2010 erklärte die Mutter der Beschwerdeführerin, die Bellevue Group AG, diverse organisatorische Massnahmen bei der Beschwerdeführerin angeordnet zu haben, da der Ablauf der Ereignisse und einzelne Vorkommnisse Anlass zu Fragen gegeben hätten. Insbesondere habe sich in aller Deutlichkeit gezeigt, dass der Bereich Blockhandel in Small- und Mid-Caps unter Umständen ein erhebliches Reputationsrisiko in sich bergen könne. Die Beschwerde­führerin führe gemäss dieser Anordnung nunmehr im Blockhandel eine Kategorie « mit zusätzlichem Abklärungsbedarf » ein. Darunter falle jeder Auftrag zum Kauf oder Verkauf einer Position, die einen Anteil von 2.5 % oder mehr an den Stimmrechten beziehungsweise dem Kapital einer Gesellschaft umfasse. Der unter dem Schwellenwert von 3 % liegende Grenzwert solle dazu dienen, auch Positionen, welche bewusst darunter gehalten würden, in diese Regelung einzuschliessen. Bevor ein solcher Blockhandel zur Ausführung gelangen könne, seien folgende Massnahmen durchzuführen: Der wirtschaftliche Hintergrund und die Absicht des Kunden seien zu erfragen und schriftlich zu dokumentieren. Der Kunde sei explizit auf allenfalls sich ergebende börsenrechtliche Meldepflichten hinzuweisen. Die Aktennotiz mit den obigen Informa­tionen sei von zwei Geschäftsleitungsmitgliedern zu unterzeichnen. Erst dann könne ein Auftrag freigegeben werden. Eine Kopie der Aktennotiz sei unverzüglich an den Compliance-Verantwortlichen weiterzuleiten. Während der Ausführung, die sich der Natur der Sache entsprechend auch über mehrere Tage erstrecken könne, sei der Auftrag täglich von dem Compliance-Verantwortlichen zu überwachen. Allfällige Besonder­heiten oder Auffälligkeiten seien sofort an den CEO und an den Group Compliance-Verantwortlichen zu rapportieren. Die Geschäftsleitung der Bank sei im Rahmen ihrer ordentlichen Sitzungen lückenlos und laufend über sämtliche Aufträge zu informieren, welche als Blockhandel mit zusätzlichem Abklärungsbedarf kategorisiert würden. Bestände in Schweizer Aktien würden über alle Depots der Beschwerdeführerin, in­klusive Nostro, und über vom Compliance-Verantwortlichen zu definie­rende Kundengruppen aggregiert. Diese aggregierten Positionen würden täglich mit den jeweils geltenden Schwellenwerten pro Gesellschaft abgeglichen. Wo aggregiert ein Schwellenwert erreicht, über- oder unter­schritten werde, werde ein entsprechendes Reporting an die vorgesetzten Stellen und an den Compliance-Verantwortlichen erstellt. Diese beur­teilten, ob allenfalls weitere Abklärungen angezeigt seien. Da die Be­schwerdeführerin Transaktionen in wesentlichem Umfang auf Basis von « Lieferung gegen Zahlung » für Kunden tätige, welche ihr Konto und Depot bei einer anderen Bank unterhielten, werde die oben erläuterte Analyse auch auf dem täglichen Umsatz in den betreffenden Titeln durchgeführt und analog rapportiert. Für die Erstellung der Meldungen an die Vorinstanz habe die Beschwerdeführerin eine Arbeitsanleitung erstellt und ein striktes Vieraugenprinzip angeordnet. Das Audit Committee der Bellevue Group habe die interne Revision angewiesen, den Bereich Brokerage einer vertieften und ausserplanmässigen Prüfung zu unterziehen. Die interne Revision komme in ihrem Prüfbericht vom 20. Oktober 2010 zum Schluss, dass der Bereich grundsätzlich ordnungs­gemäss organisiert sei. Die Beschwerdeführerin werde die Empfehlungen der internen Revision umsetzen. Die Beschwerdeführerin werde sämt­liche Kundendossiers den Anforderungen der VSB 08 (Vereinbarung über die Standesregeln und Sorgfaltspflicht der Banken) anpassen. Sie werde überdies die gesamte Kunden-Vertragsdokumentation überarbeiten und vereinheitlichen. Die allgemeinen Geschäftsbedingungen (nachfol­gend: AGB) würden ebenfalls angepasst, unter anderem mit expliziten Ergänzungen zu Punkten wie der Stimmrechtsausübung der im Kunden­depot gelegenen Aktien, der börsenrechtlichen Meldepflichten nach Art. 20 BEHG, den Nettoabrechnungen sowie einer einheitlichen Rundungsregel für alle Kundenabrechnungen. Des Weiteren werde der Kundeneröffnungsprozess überarbeitet. Dazu würden neu ein soft­waregeschützter Workflow aufgebaut und eine elektronische Archivie­rung aller kundenrelevanten Dokumente eingeführt. Die sogenannten Aktienmandate würden neu schriftlich fixiert und mit folgenden Eck­punkten versehen: Kundenberatung betreffend Investitionen in Schweizer Aktien und opportunistisch auch betreffend andere Investitionen, Ausfüh­rung von Kundentransaktionen und Zustellung einer Börsenabrechnung am Folgetag der Transaktion, Monierung der Börsenabrechnung inner­halb von fünf Tagen nach Zustellung, Verzicht auf Erstellen eines An­lageprofils, einer Anlagestrategie und zu erreichende Anlageziele auf ausdrücklichen Kundenwunsch. Die Bellevue Asset Management werde die unabhängige Überwachung für die Vermögensverwaltungsmandate ausüben. Die eingesetzten Prozesse und Systeme entsprächen den für das Mandatsgeschäft der Bellevue Asset Management angewendeten Mass­stäben. Ein entsprechendes Service Agreement sei aufgesetzt worden. Im Sinne einer Verbesserung der zeitnahen und systemmässigen Über­wachungstätigkeit, insbesondere was die Instrumente Watch List bezie­hungsweise Restricted List anbelange, werde die Weisung Mitarbeiterge­schäfte dahingehend geändert, dass neu alle Transaktionen in Aktien und Derivaten auf Schweizer Aktien zwingend über die Bank abgewickelt werden müssten. Mitarbeiter würden auch darüber Auskunft erteilen müssen, ob und in welchem Umfang gewisse Kreditengagements einge­gangen worden seien. Zwecks nachhaltiger Stärkung des internen Kontrollsystems werde eine spezialisierte Software implementiert. Damit würden Prozesse und Kontrolltätigkeiten dokumentiert und Eskalations­prozeduren festgelegt. Ebenso würden darin Funktionsbeschreibungen und Verantwortlichkeiten definiert. Dieses Projekt werde gruppenweit umgesetzt. Im Sinne einer Vereinheitlichung von Richtlinien und Prozessen sei der Bereich HR dem Group CFO unterstellt worden. Interimistisch sei IT ebenfalls dem Group CFO unterstellt. Die Unter­stellung werde beibehalten. Damit werde eine klare Verantwortung auf Gruppenstufe geregelt. Bankmitarbeiter Y. sei aus dem Sales-Team der Beschwerdeführerin ausgetreten. Die von ihm in der Vergangenheit betreuten Brokerage-Kunden (institutionelle Kunden) seien bereits per Ende 2009 an B12 (...) und B18 (...) übertragen worden. Damit habe Bankmitarbeiter Y. seine Brokerage-Tätigkeit bereits vollständig aufge­geben, einschliesslich der Tätigkeit als Blockhändler. Bankmitarbeiter Y. werde die Beschwerdeführerin spätestens innert sechs Monaten nach Einstellung des Verfahrens verlassen. Während der noch verbleibenden Zeit werde er die ausschliesslich von ihm bis dato betreuten Anlage­beratungs und Vermögensverwaltungsmandate ebenfalls an die ge­nannten Personen übergeben. Der Verwaltungsrat habe angeordnet, dass über die Umsetzung aller aufgeführten Massnahmen quartalsweise Bericht an das Audit Committee der Bellevue Group zu erstatten sei. Er ordne auch an, dass die Umsetzung aller aufgeführten Massnahmen von der internen Revisions beziehungsweise von der Prüfgesellschaft zu prüfen sei. Die Prüfgesellschaft solle im jährlichen Bericht über die Auf­sichtsprüfung explizit über den Stand der Umsetzung der Massnahmen an die Vorinstanz berichten, erstmals im per Ende Mai 2011 einzu­reichenden Bericht.</w:t>
      </w:r>
    </w:p>
    <w:p>
      <w:r>
        <w:rPr>
          <w:b/>
        </w:rPr>
        <w:t>E. 10.3</w:t>
      </w:r>
    </w:p>
    <w:p>
      <w:r>
        <w:t>In der angefochtenen Verfügung übernahm die Vorinstanz diesen Massnahmenkatalog im Grossen und Ganzen beziehungsweise hiess ihn gut und wies die Beschwerdeführerin an, die festgestellten Mängel unverzüglich zu beheben und der Vorinstanz monatlich mit Stichtag Ende Monat über eingeleitete Massnahmen beziehungsweise Prozesse detail­liert zu berichten und der Vorinstanz den Bericht innert fünf Arbeitstagen nach Stichtag zuzustellen. Ferner wies sie die Beschwerdeführerin an, eine Prüfgesellschaft insbesondere mit der Prüfung der Umsetzung der von der Beschwerdeführerin ergriffenen Massnahmen zu beauftragen.</w:t>
      </w:r>
    </w:p>
    <w:p>
      <w:r>
        <w:rPr>
          <w:b/>
        </w:rPr>
        <w:t>E. 10.4</w:t>
      </w:r>
    </w:p>
    <w:p>
      <w:r>
        <w:t>Mit E-Mail vom 23. Mai 2011 schlug der Verwaltungsrat der Bellevue Group AG zur Prüfung der Umsetzung der Massnahmen als Drittprüfgesellschaft die BDO AG oder die Ernst &amp; Young AG (nach­folgend: E&amp;Y) vor. Mit Schreiben vom 10. Juni 2011 lud die Vorinstanz die Beschwerdeführerin ein, die E&amp;Y zur Prüfung der Umsetzung und Einhaltung der Massnahmen gemäss der angefochtenen Verfügung, Ziff. 239 und 240 Bst. a m, unter Berücksichtigung der Einhaltung und Umsetzung der in den FINMA-RS 2008/24 « Überwachung und interne Kontrolle Banken » und 2008/38 « Marktverhaltensregeln » massge­benden Bestimmungen einzusetzen. Gleichzeitig wurde die banken­gesetzliche Prüfgesellschaft PricewaterhouseCoopers AG (nachfolgend: PwC) beauftragt, bis zum 30. November 2011 einen Sonderbericht über die Umsetzung und Einhaltung der zum Sachverhalt relevanten FINMA-RS 2008/24 « Überwachung und interne Kontrolle Banken» und 2008/38 « Marktverhaltensregeln » einzureichen.</w:t>
      </w:r>
    </w:p>
    <w:p>
      <w:r>
        <w:rPr>
          <w:b/>
        </w:rPr>
        <w:t>E. 10.5</w:t>
      </w:r>
    </w:p>
    <w:p>
      <w:r>
        <w:t>Nach bewilligter Fristerstreckung reichte die Vorinstanz dem Bundesverwaltungsgericht am 16. Januar 2012 die Berichte der E&amp;Y vom 15. Dezember 2011 und der PwC vom 13. Dezember 2011 ein. Sie führte dazu aus, dass eine Analyse dieser Berichte und weitere Abklä­rungen ergeben hätten, dass die Umsetzung der Massnahmen zur Wieder­herstellung des ordnungsgemässen Zustandes adäquat stattgefunden habe. Aus dem Bericht der E&amp;Y vom 15. Dezember 2011 gehe, soweit hier interessierend, namentlich hervor, dass im Bereich Blockhandel neue Richtlinien erlassen worden seien, welche im Intranet zugänglich seien. Die Mitarbeiter der Abteilung Sales und Sales-Trading seien über die Inhalte der neuen Richtlinien geschult worden. Die unter Blockhandel zu klassifizierenden Transaktionen seien zudem explizit durch die Com­pliance-Stelle der Beschwerdeführerin zu genehmigen. Um die Über­wachungstätigkeit im Sinne von Art. 20 BEHG zu stärken, seien die Kontrollfunktionen hinsichtlich der Überwachung von möglichen Über­schreitungen von Schwellenwerten gestärkt worden. Dazu würden neu auch Optionsumsätze beziehungsweise positionen mit einbezogen. Be­treffend Meldewesen an die Vorinstanz habe die Beschwerdeführerin eine Arbeitsanleitung erstellt und ein striktes Vieraugenprinzip einge­führt. Der Bereich Brokerage sei durch die interne Revision der Be­schwerdeführerin einer vertieften Analyse unterzogen worden. Die da­raus resultierenden Empfehlungen hinsichtlich Implementierung einer schriftlichen Regelung zur Nutzung von privaten Mobiltelefonen für die Kommunikation mit Bankkunden sowie die Sicherstellung von Aufzeich­nungen von Kundengesprächen hätten umgesetzt werden können. Was den Prüfbereich Kundendokumentation anbelange, habe die Beschwerde­führerin den Versand der neuen Kundenverträge vorgenommen. Die neu erhaltenen und unterzeichneten Kundendokumente seien eingescannt und elektronisch in WinDekis abgelegt worden. Die Massnahmen hinsichtlich der Regelungen zu Stimmrechtsausübung, börsenrechtlichen Melde­pflichten, Nettoabrechnung und Rundungsregel würden in die AGB aufgenommen, welche mit dem Rechtsvertreter Niederer Kraft &amp; Frey erarbeitet würden. Für den Bereich Anlageberatung werde auf die Verwendung des Vertrages für Anlageberatungskunden verzichtet. Die Segmentierung der Kunden werde jedoch generell und über alle Kunden hinweg mittels « Suitability Check » und darauf basierend die ent­sprechende Risikoabklärung vorgenommen. Weitere Regelungen zur Anlageberatung würden in den AGB geregelt. Die Zuständigkeiten für Kunden mit Vermögensverwaltungsverträgen seien aus organisatorischer Sicht neu definiert worden. Der neuen Abteilung Vermögensverwaltung stehe der CEO vor, wobei zur Gewährung einer adäquaten Funktionen­trennung Kontrollschritte implementiert worden seien. Hierzu diene die per 25. November 2011 neu genehmigte Weisung « Vermögensver­waltung ». Aus allen diesen Gründen habe sie (die Vorinstanz) das gemäss Dispositivziffer 4 der angefochtenen Verfügung definierte Verbot zur Akquisition von Kunden in den Bereichen Anlageberatung und Ver­mögensverwaltung bereits mit Schreiben vom 9. Januar 2012 per sofort aufgehoben.</w:t>
      </w:r>
    </w:p>
    <w:p>
      <w:r>
        <w:rPr>
          <w:b/>
        </w:rPr>
        <w:t>E. 10.6</w:t>
      </w:r>
    </w:p>
    <w:p>
      <w:r>
        <w:t>Aufgrund der auch in organisatorischer Hinsicht erdrückenden Aktenlage und namentlich auch der einlässlichen Würdigung der Vor­instanz, der beigezogenen Prüfgesellschaften und der Muttergesellschaft der Beschwerdeführerin, denen die Beschwerdeführerin lediglich eine nicht-substanziierte Kritik entgegenhält (vgl. E. 10.1 am Ende), erachtet das Bundesverwaltungsgericht diese Vorwürfe als gerechtfertigt bezie­hungsweise die ihnen zu Grunde liegenden, bemängelten Sachverhalte als erwiesen, und die Beschwerdeführerin vermag auch insofern mit ihrer gegenteiligen Auffassung nicht durchzudringen. Demnach hat die Beschwerdeführerin gegen die gesetzlichen und regulatorischen Be­stimmungen bezüglich der Organisationsvorschriften (betriebsinterne Funktionentrennung, Risikomanagement, angemessenes internes Kont­rollsystem, Compliance) beziehungsweise bezüglich der Pflicht zur Ab­klärung der wirtschaftlichen Hintergründe eines Geschäfts gemäss Art. 3 Abs. 2 Bst. a BankG, Art. 10 Abs. 2 Bst. a BEHG, Art. 9 Abs. 2, 3, 4 BankV, Art. 19 Abs. 1 und 3, Art. 20 Abs. 1 BEHV sowie gegen die diesbezüglichen Ausführungsvorschriften des RS-EBK 06/6 verstossen. Des Weiteren hat sie zwischen November 2007 und April 2008 die Sorgfalts- und Treuepflicht gemäss Art. 11 Bst. b und c BEHG und damit zugleich Art. 10 Abs. 2 Bst. d BEHG (einwandfreie Geschäftstätigkeit) sowie Art. 10 Abs. 2 Bst. a BEHG schwer verletzt (Organisations­vorschriften).</w:t>
      </w:r>
    </w:p>
    <w:p>
      <w:r>
        <w:rPr>
          <w:b/>
        </w:rPr>
        <w:t>E. 11</w:t>
      </w:r>
    </w:p>
    <w:p>
      <w:r>
        <w:t>Androhung des Bewilligungsentzugs</w:t>
      </w:r>
    </w:p>
    <w:p>
      <w:r>
        <w:rPr>
          <w:b/>
        </w:rPr>
        <w:t>E. 11.1</w:t>
      </w:r>
    </w:p>
    <w:p>
      <w:r>
        <w:t>In Dispositivziffer 2 des angefochtenen Entscheids hat die Vor­instanz der Beschwerdeführerin für den Wiederholungsfall den Entzug der Bewilligung als Bank und Effektenhändlerin und damit die aufsichts­rechtliche Liquidation angedroht. Zur Begründung führte sie aus, gemäss Art. 37 Abs. 1 FINMAG entziehe die FINMA einer Beaufsichtigten die Bewilligung, wenn sie die Voraussetzungen für die Tätigkeit nicht mehr erfülle oder aufsichtsrechtliche Bestimmungen schwer verletze. Auf einen Bewilligungsentzug sei jedoch zu verzichten, wenn - wie vorliegend - eine mildere Massnahme getroffen werden könne. Dagegen führt die Beschwerdeführerin ins Feld, da der zentrale Vorwurf der Vorinstanz, der auf schwachen und nicht stichhaltigen Indizien be­ruhe, nicht zutreffe, sei die Androhung des Lizenzentzuges per se unver­hältnismässig. Zu berücksichtigen sei, dass die Beschwerdeführerin ein Kronjuwel der kotierten Bellevue Group AG sei. Durch die Androhung des Lizenzentzuges würden auch die Publikumsaktionäre der Bellevue Group AG schwer getroffen und geschädigt, zumal die ungerechtfertigte Androhung bewirke, dass die Beschwerdeführerin und die Bellevue Group AG praktisch unverkäuflich würden. Erschwerend komme hinzu, dass der Lizenzentzug und die aufsichtsrechtliche Liquidation auf unbe­stimmte Zeit angedroht würden. Die « bedingte Todesstrafe auf Leb­zeiten » gegen die Beschwerdeführerin sei - selbst wenn die Annahmen und Forderungen der Vorinstanz richtig wären - unverhältnismässig und unzulässig. Dies sei umso weniger haltbar, als Ziff. 2 des Dispositivs der Verfügung in keiner Weise klarstelle, was von der Vorinstanz als « Wiederholungsfall » taxiert werde.</w:t>
      </w:r>
    </w:p>
    <w:p>
      <w:r>
        <w:rPr>
          <w:b/>
        </w:rPr>
        <w:t>E. 11.2</w:t>
      </w:r>
    </w:p>
    <w:p>
      <w:r>
        <w:t>Die FINMA entzieht einer beaufsichtigten Gesellschaft die Bewilligung, wenn sie die Voraussetzungen für die Tätigkeit nicht mehr erfüllt oder aufsichtsrechtliche Bestimmungen schwer verletzt (Art. 37 Abs. 1 FINMAG). Ein Entzug bildet - gemäss dem verwaltungsrecht­lichen Prinzip der Verhältnismässigkeit - die ultima ratio des Aufsichts­systems und soll nur dann angeordnet werden, wenn keine mildere Massnahme getroffen werden kann. Das verfassungsrechtlich verankerte Verhältnismässigkeitsprinzip (Art. 5 Abs. 2 der Bundesverfassung der Schweizerischen Eidgenossenschaft vom 18. April 1999 [BV, SR 101]) gebietet vor der Durchführung des Entzuges die Prüfung milderer, der Sicherung der öffentlichen Interessen gleichermassen dienender Mittel. Zu denken ist dabei insbesondere an die vorgängige Androhung des Entzuges verbunden mit der Aufforderung zur Beseitigung des gesetz­widrigen Zustandes. Die Androhung des Entzugs impliziert zudem eine angemessene Fristansetzung zur Wiederherstellung des gesetzmässigen Zustandes (vgl. Pellanda, a.a.O., Rz. 7 zu Art. 37 FINMAG). Der Grundsatz der Verhältnismässigkeit ist ein Grundprinzip des Verwal­tungsrechts und hat Verfassungsrang. Gemäss Art. 5 Abs. 2 BV muss alles staatliche Handeln verhältnismässig sein. Der Grundsatz der Verhältnismässigkeit umfasst gemäss Lehre und Rechtsprechung drei Elemente, die kumulativ beachtet werden müssen. Die Verwaltungs­massnahme muss geeignet sein, das im öffentlichen Interesse ange­strebte Ziel zu erreichen. Die Verwaltungsmassnahme muss im Hinblick auf das im öffentlichen Interesse angestrebte Ziel erforderlich sein; sie hat zu unterbleiben, wenn eine gleich geeignete, aber mildere Massnahme für den angestrebten Erfolg ausreichen würde. In Lehre und Rechtsprechung wird statt von Verhältnismässigkeit von Zweck und Wirkung oft auch von « Verhältnismässigkeit im engeren Sinn » gesprochen. Dieser wenig aussagekräftige Terminus ist zu vermeiden. Zutreffend ist dagegen die Bezeichnung « Zumutbarkeit ». Eine Verwaltungsmassnahme ist nur gerechtfertigt, wenn sie ein vernünftiges Verhältnis zwischen dem ange­strebten Ziel und dem Eingriff, den sie für den betroffenen Privaten bewirkt, wahrt. Es ist deshalb eine wertende Abwägung vorzunehmen, welche im konkreten Fall das öffentliche Interesse an der Massnahme und die durch ihre Wirkungen beeinträchtigten privaten Interessen der Betroffenen miteinander vergleicht. Die Massnahme muss durch ein das private Interesse überwiegendes öffentliches Interesse gerechtfertigt sein. Nur in diesem Fall ist sie den Privaten zumutbar. Für die Interessen­abwägung massgeblich sind also einerseits die Bedeutung der verfolgten öffentlichen Interessen und andererseits das Gewicht der betroffenen privaten Interessen. Eine Massnahme, an der nur ein geringes öffent­liches Interesse besteht, die aber tief greifende Auswirkungen auf die Rechtsstellung der betroffenen Privaten hat, soll unterbleiben (vgl. Ulrich Häfelin/Georg Müller/Felix Uhlmann, Allgemeines Ver­waltungsrecht, 6. Aufl., Zürich/St. Gallen, Rz. 581 ff.). Nach dem Gesagten liegt im hier streitigen Fall eine schwere Verletzung von aufsichtsrechtlichen Bestimmungen vor (vgl. E. 10.6). Mit Blick wohl auf das kooperative Verhalten der Beschwerdeführerin verzichtete die Vorinstanz indessen auf einen Entzug und ordnete eine mildere Massnahme an (u.a. Wiederherstellung des rechtmässigen Zustands unter Androhung des Entzugs im Wiederholungsfall). Diese Massnahme er­scheint dem Bundesverwaltungsgericht unter Berücksichtigung sämt­licher Umstände als geeignet, erforderlich und zumutbar. Denn nach der dargelegten umfangreichen Reorganisation scheint hinreichend Gewähr dafür zu bestehen, dass sich ein ähnlicher Fall kaum wiederholen dürfte. Bei allfälligen erneuten Unregelmässigkeiten wäre die Frage des Entzugs in einem rechtsstaatlichen Verfahren freilich erneut zu prüfen, wobei der Umstand der Wiederholung als erschwerend zu berücksichtigen wäre. Dies und nichts anderes besagt Ziffer 2 des Dispositivs des angefochte­nen Entscheids, was nicht zu beanstanden ist. Soweit die Beschwerde­führerin eine andere Auffassung vertritt, kann ihr auch hierin nicht gefolgt werden.</w:t>
      </w:r>
    </w:p>
    <w:p>
      <w:r>
        <w:rPr>
          <w:b/>
        </w:rPr>
        <w:t>E. 12</w:t>
      </w:r>
    </w:p>
    <w:p>
      <w:r>
        <w:t>Verhältnismässigkeit der Einsetzung einer ausserordent­lichen Prüfgesellschaft und des Verbots der Akquisition neuer Kunden in den Bereichen Vermögensverwaltung und Anlagebera­tung Die Beschwerdeführerin bringt weiter vor, auch die Anordnung der Einsetzung einer (ausserordentlichen) Prüfgesellschaft zur Prüfung der Umsetzung der angekündigten organisatorischen Massnahmen sowie das Verbot, in den Bereichen Vermögensverwaltung und Anlageberatung bis zur Wiederherstellung des rechtmässigen Zustandes neue Kunden zu akquirieren, erwiesen sich ebenfalls als unverhältnismässig. Dem ist mit Blick auf die schweren Verstösse gegen die gesetzlichen Vorschriften, welche die bisherige ordentliche Revisionsstelle nicht zu verhindern ver­mochte, und auf den vom Gesetz angestrebten Kundenschutz entgegen­zuhalten, dass eine weniger einschneidende als die getroffene Anordnung schwerlich vorstellbar ist. Jedenfalls erachtet das Bundesverwaltungs­gericht diese ebenfalls nicht substanziierte Kritik an dieser Anordnung nicht als stichhaltig und das Verhältnismässigkeitsgebot als nicht verletzt. Diese Massnahme erweist sich vielmehr als geeignet, erforderlich und zumutbar. Es ist nicht ersichtlich, inwiefern eine mildere Massnahme hätte angeordnet werden können. Die Beschwerde erweist sich als insgesamt unbegründet und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